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64C" w:rsidRDefault="00C60105" w:rsidP="008A46A2">
      <w:pPr>
        <w:spacing w:after="120"/>
        <w:jc w:val="center"/>
      </w:pPr>
      <w:r w:rsidRPr="005F064C">
        <w:rPr>
          <w:rFonts w:asciiTheme="minorHAnsi" w:hAnsiTheme="minorHAnsi" w:cstheme="minorBidi"/>
          <w:b/>
          <w:bCs/>
          <w:smallCaps/>
          <w:sz w:val="36"/>
          <w:szCs w:val="36"/>
          <w:lang w:val="en-US"/>
        </w:rPr>
        <w:t>Integration of Bare Soil Reflectance Composites, Derived from Long-term Satellite Image Series, into the AMS Workflow</w:t>
      </w:r>
    </w:p>
    <w:p w:rsidR="00435F31" w:rsidRDefault="00435F31" w:rsidP="008A46A2">
      <w:pPr>
        <w:jc w:val="center"/>
        <w:rPr>
          <w:rFonts w:asciiTheme="minorHAnsi" w:hAnsiTheme="minorHAnsi" w:cstheme="minorBidi"/>
          <w:b/>
          <w:bCs/>
          <w:sz w:val="18"/>
          <w:szCs w:val="18"/>
          <w:lang w:val="es-ES"/>
        </w:rPr>
      </w:pPr>
      <w:r w:rsidRPr="008A46A2">
        <w:rPr>
          <w:rFonts w:asciiTheme="minorHAnsi" w:hAnsiTheme="minorHAnsi" w:cstheme="minorBidi"/>
          <w:b/>
          <w:bCs/>
          <w:sz w:val="18"/>
          <w:szCs w:val="18"/>
          <w:vertAlign w:val="superscript"/>
          <w:lang w:val="es-ES"/>
        </w:rPr>
        <w:t>[1]</w:t>
      </w:r>
      <w:r w:rsidRPr="008A46A2">
        <w:rPr>
          <w:rFonts w:asciiTheme="minorHAnsi" w:hAnsiTheme="minorHAnsi" w:cstheme="minorBidi"/>
          <w:b/>
          <w:bCs/>
          <w:sz w:val="18"/>
          <w:szCs w:val="18"/>
          <w:lang w:val="es-ES"/>
        </w:rPr>
        <w:t>Gutiérrez Garcia, A</w:t>
      </w:r>
      <w:r w:rsidR="00C32CE6">
        <w:rPr>
          <w:rFonts w:asciiTheme="minorHAnsi" w:hAnsiTheme="minorHAnsi" w:cstheme="minorBidi"/>
          <w:b/>
          <w:bCs/>
          <w:sz w:val="18"/>
          <w:szCs w:val="18"/>
          <w:lang w:val="es-ES"/>
        </w:rPr>
        <w:t>lberto</w:t>
      </w:r>
      <w:r w:rsidRPr="008A46A2">
        <w:rPr>
          <w:rFonts w:asciiTheme="minorHAnsi" w:hAnsiTheme="minorHAnsi" w:cstheme="minorBidi"/>
          <w:b/>
          <w:bCs/>
          <w:sz w:val="18"/>
          <w:szCs w:val="18"/>
          <w:lang w:val="es-ES"/>
        </w:rPr>
        <w:t xml:space="preserve">, </w:t>
      </w:r>
      <w:r w:rsidRPr="00E55C88">
        <w:rPr>
          <w:rFonts w:asciiTheme="minorHAnsi" w:hAnsiTheme="minorHAnsi" w:cstheme="minorBidi"/>
          <w:b/>
          <w:bCs/>
          <w:sz w:val="18"/>
          <w:szCs w:val="18"/>
          <w:vertAlign w:val="superscript"/>
          <w:lang w:val="es-ES"/>
        </w:rPr>
        <w:t>[1]</w:t>
      </w:r>
      <w:r w:rsidRPr="008A46A2">
        <w:rPr>
          <w:rFonts w:asciiTheme="minorHAnsi" w:hAnsiTheme="minorHAnsi" w:cstheme="minorBidi"/>
          <w:b/>
          <w:bCs/>
          <w:sz w:val="18"/>
          <w:szCs w:val="18"/>
          <w:lang w:val="es-ES"/>
        </w:rPr>
        <w:t>H</w:t>
      </w:r>
      <w:r>
        <w:rPr>
          <w:rFonts w:asciiTheme="minorHAnsi" w:hAnsiTheme="minorHAnsi" w:cstheme="minorBidi"/>
          <w:b/>
          <w:bCs/>
          <w:sz w:val="18"/>
          <w:szCs w:val="18"/>
          <w:lang w:val="es-ES"/>
        </w:rPr>
        <w:t>erna</w:t>
      </w:r>
      <w:r w:rsidR="00524D36">
        <w:rPr>
          <w:rFonts w:asciiTheme="minorHAnsi" w:hAnsiTheme="minorHAnsi" w:cstheme="minorBidi"/>
          <w:b/>
          <w:bCs/>
          <w:sz w:val="18"/>
          <w:szCs w:val="18"/>
          <w:lang w:val="es-ES"/>
        </w:rPr>
        <w:t>n</w:t>
      </w:r>
      <w:r>
        <w:rPr>
          <w:rFonts w:asciiTheme="minorHAnsi" w:hAnsiTheme="minorHAnsi" w:cstheme="minorBidi"/>
          <w:b/>
          <w:bCs/>
          <w:sz w:val="18"/>
          <w:szCs w:val="18"/>
          <w:lang w:val="es-ES"/>
        </w:rPr>
        <w:t>do Sancho, F</w:t>
      </w:r>
      <w:r w:rsidR="00C32CE6">
        <w:rPr>
          <w:rFonts w:asciiTheme="minorHAnsi" w:hAnsiTheme="minorHAnsi" w:cstheme="minorBidi"/>
          <w:b/>
          <w:bCs/>
          <w:sz w:val="18"/>
          <w:szCs w:val="18"/>
          <w:lang w:val="es-ES"/>
        </w:rPr>
        <w:t>élix</w:t>
      </w:r>
      <w:r>
        <w:rPr>
          <w:rFonts w:asciiTheme="minorHAnsi" w:hAnsiTheme="minorHAnsi" w:cstheme="minorBidi"/>
          <w:b/>
          <w:bCs/>
          <w:sz w:val="18"/>
          <w:szCs w:val="18"/>
          <w:lang w:val="es-ES"/>
        </w:rPr>
        <w:t>,</w:t>
      </w:r>
      <w:r w:rsidRPr="00435F31">
        <w:rPr>
          <w:rFonts w:asciiTheme="minorHAnsi" w:hAnsiTheme="minorHAnsi" w:cstheme="minorBidi"/>
          <w:b/>
          <w:bCs/>
          <w:sz w:val="18"/>
          <w:szCs w:val="18"/>
          <w:vertAlign w:val="superscript"/>
          <w:lang w:val="es-ES"/>
        </w:rPr>
        <w:t xml:space="preserve"> </w:t>
      </w:r>
      <w:r w:rsidRPr="00E55C88">
        <w:rPr>
          <w:rFonts w:asciiTheme="minorHAnsi" w:hAnsiTheme="minorHAnsi" w:cstheme="minorBidi"/>
          <w:b/>
          <w:bCs/>
          <w:sz w:val="18"/>
          <w:szCs w:val="18"/>
          <w:vertAlign w:val="superscript"/>
          <w:lang w:val="es-ES"/>
        </w:rPr>
        <w:t>[1]</w:t>
      </w:r>
      <w:r>
        <w:rPr>
          <w:rFonts w:asciiTheme="minorHAnsi" w:hAnsiTheme="minorHAnsi" w:cstheme="minorBidi"/>
          <w:b/>
          <w:bCs/>
          <w:sz w:val="18"/>
          <w:szCs w:val="18"/>
          <w:lang w:val="es-ES"/>
        </w:rPr>
        <w:t xml:space="preserve"> Cabrero Carrera, M</w:t>
      </w:r>
      <w:r w:rsidR="00C32CE6">
        <w:rPr>
          <w:rFonts w:asciiTheme="minorHAnsi" w:hAnsiTheme="minorHAnsi" w:cstheme="minorBidi"/>
          <w:b/>
          <w:bCs/>
          <w:sz w:val="18"/>
          <w:szCs w:val="18"/>
          <w:lang w:val="es-ES"/>
        </w:rPr>
        <w:t>iriam</w:t>
      </w:r>
      <w:r>
        <w:rPr>
          <w:rFonts w:asciiTheme="minorHAnsi" w:hAnsiTheme="minorHAnsi" w:cstheme="minorBidi"/>
          <w:b/>
          <w:bCs/>
          <w:sz w:val="18"/>
          <w:szCs w:val="18"/>
          <w:lang w:val="es-ES"/>
        </w:rPr>
        <w:t xml:space="preserve">, </w:t>
      </w:r>
      <w:r w:rsidRPr="00E55C88">
        <w:rPr>
          <w:rFonts w:asciiTheme="minorHAnsi" w:hAnsiTheme="minorHAnsi" w:cstheme="minorBidi"/>
          <w:b/>
          <w:bCs/>
          <w:sz w:val="18"/>
          <w:szCs w:val="18"/>
          <w:vertAlign w:val="superscript"/>
          <w:lang w:val="es-ES"/>
        </w:rPr>
        <w:t>[1]</w:t>
      </w:r>
      <w:r>
        <w:rPr>
          <w:rFonts w:asciiTheme="minorHAnsi" w:hAnsiTheme="minorHAnsi" w:cstheme="minorBidi"/>
          <w:b/>
          <w:bCs/>
          <w:sz w:val="18"/>
          <w:szCs w:val="18"/>
          <w:lang w:val="es-ES"/>
        </w:rPr>
        <w:t>Negro Martín, R</w:t>
      </w:r>
      <w:r w:rsidR="00C32CE6">
        <w:rPr>
          <w:rFonts w:asciiTheme="minorHAnsi" w:hAnsiTheme="minorHAnsi" w:cstheme="minorBidi"/>
          <w:b/>
          <w:bCs/>
          <w:sz w:val="18"/>
          <w:szCs w:val="18"/>
          <w:lang w:val="es-ES"/>
        </w:rPr>
        <w:t>ubén</w:t>
      </w:r>
      <w:r>
        <w:rPr>
          <w:rFonts w:asciiTheme="minorHAnsi" w:hAnsiTheme="minorHAnsi" w:cstheme="minorBidi"/>
          <w:b/>
          <w:bCs/>
          <w:sz w:val="18"/>
          <w:szCs w:val="18"/>
          <w:lang w:val="es-ES"/>
        </w:rPr>
        <w:t xml:space="preserve">, </w:t>
      </w:r>
      <w:r w:rsidRPr="00E55C88">
        <w:rPr>
          <w:rFonts w:asciiTheme="minorHAnsi" w:hAnsiTheme="minorHAnsi" w:cstheme="minorBidi"/>
          <w:b/>
          <w:bCs/>
          <w:sz w:val="18"/>
          <w:szCs w:val="18"/>
          <w:vertAlign w:val="superscript"/>
          <w:lang w:val="es-ES"/>
        </w:rPr>
        <w:t>[</w:t>
      </w:r>
      <w:r>
        <w:rPr>
          <w:rFonts w:asciiTheme="minorHAnsi" w:hAnsiTheme="minorHAnsi" w:cstheme="minorBidi"/>
          <w:b/>
          <w:bCs/>
          <w:sz w:val="18"/>
          <w:szCs w:val="18"/>
          <w:vertAlign w:val="superscript"/>
          <w:lang w:val="es-ES"/>
        </w:rPr>
        <w:t>2</w:t>
      </w:r>
      <w:r w:rsidRPr="00E55C88">
        <w:rPr>
          <w:rFonts w:asciiTheme="minorHAnsi" w:hAnsiTheme="minorHAnsi" w:cstheme="minorBidi"/>
          <w:b/>
          <w:bCs/>
          <w:sz w:val="18"/>
          <w:szCs w:val="18"/>
          <w:vertAlign w:val="superscript"/>
          <w:lang w:val="es-ES"/>
        </w:rPr>
        <w:t>]</w:t>
      </w:r>
      <w:r>
        <w:rPr>
          <w:rFonts w:asciiTheme="minorHAnsi" w:hAnsiTheme="minorHAnsi" w:cstheme="minorBidi"/>
          <w:b/>
          <w:bCs/>
          <w:sz w:val="18"/>
          <w:szCs w:val="18"/>
          <w:lang w:val="es-ES"/>
        </w:rPr>
        <w:t>Fern</w:t>
      </w:r>
      <w:r w:rsidR="00607161">
        <w:rPr>
          <w:rFonts w:asciiTheme="minorHAnsi" w:hAnsiTheme="minorHAnsi" w:cstheme="minorBidi"/>
          <w:b/>
          <w:bCs/>
          <w:sz w:val="18"/>
          <w:szCs w:val="18"/>
          <w:lang w:val="es-ES"/>
        </w:rPr>
        <w:t>á</w:t>
      </w:r>
      <w:r>
        <w:rPr>
          <w:rFonts w:asciiTheme="minorHAnsi" w:hAnsiTheme="minorHAnsi" w:cstheme="minorBidi"/>
          <w:b/>
          <w:bCs/>
          <w:sz w:val="18"/>
          <w:szCs w:val="18"/>
          <w:lang w:val="es-ES"/>
        </w:rPr>
        <w:t>ndez Fern</w:t>
      </w:r>
      <w:r w:rsidR="00607161">
        <w:rPr>
          <w:rFonts w:asciiTheme="minorHAnsi" w:hAnsiTheme="minorHAnsi" w:cstheme="minorBidi"/>
          <w:b/>
          <w:bCs/>
          <w:sz w:val="18"/>
          <w:szCs w:val="18"/>
          <w:lang w:val="es-ES"/>
        </w:rPr>
        <w:t>á</w:t>
      </w:r>
      <w:r>
        <w:rPr>
          <w:rFonts w:asciiTheme="minorHAnsi" w:hAnsiTheme="minorHAnsi" w:cstheme="minorBidi"/>
          <w:b/>
          <w:bCs/>
          <w:sz w:val="18"/>
          <w:szCs w:val="18"/>
          <w:lang w:val="es-ES"/>
        </w:rPr>
        <w:t>ndez, M</w:t>
      </w:r>
      <w:r w:rsidR="00C32CE6">
        <w:rPr>
          <w:rFonts w:asciiTheme="minorHAnsi" w:hAnsiTheme="minorHAnsi" w:cstheme="minorBidi"/>
          <w:b/>
          <w:bCs/>
          <w:sz w:val="18"/>
          <w:szCs w:val="18"/>
          <w:lang w:val="es-ES"/>
        </w:rPr>
        <w:t xml:space="preserve">anuel </w:t>
      </w:r>
      <w:r>
        <w:rPr>
          <w:rFonts w:asciiTheme="minorHAnsi" w:hAnsiTheme="minorHAnsi" w:cstheme="minorBidi"/>
          <w:b/>
          <w:bCs/>
          <w:sz w:val="18"/>
          <w:szCs w:val="18"/>
          <w:lang w:val="es-ES"/>
        </w:rPr>
        <w:t>V</w:t>
      </w:r>
      <w:r w:rsidR="00C32CE6">
        <w:rPr>
          <w:rFonts w:asciiTheme="minorHAnsi" w:hAnsiTheme="minorHAnsi" w:cstheme="minorBidi"/>
          <w:b/>
          <w:bCs/>
          <w:sz w:val="18"/>
          <w:szCs w:val="18"/>
          <w:lang w:val="es-ES"/>
        </w:rPr>
        <w:t>icente</w:t>
      </w:r>
      <w:r>
        <w:rPr>
          <w:rFonts w:asciiTheme="minorHAnsi" w:hAnsiTheme="minorHAnsi" w:cstheme="minorBidi"/>
          <w:b/>
          <w:bCs/>
          <w:sz w:val="18"/>
          <w:szCs w:val="18"/>
          <w:lang w:val="es-ES"/>
        </w:rPr>
        <w:t>.</w:t>
      </w:r>
    </w:p>
    <w:p w:rsidR="00435F31" w:rsidRPr="008A46A2" w:rsidRDefault="00435F31" w:rsidP="008A46A2">
      <w:pPr>
        <w:jc w:val="center"/>
        <w:rPr>
          <w:rFonts w:asciiTheme="minorHAnsi" w:hAnsiTheme="minorHAnsi" w:cstheme="minorBidi"/>
          <w:bCs/>
          <w:i/>
          <w:sz w:val="18"/>
          <w:szCs w:val="18"/>
          <w:lang w:val="es-ES"/>
        </w:rPr>
      </w:pPr>
      <w:r w:rsidRPr="008A46A2">
        <w:rPr>
          <w:rFonts w:asciiTheme="minorHAnsi" w:hAnsiTheme="minorHAnsi" w:cstheme="minorBidi"/>
          <w:bCs/>
          <w:i/>
          <w:sz w:val="18"/>
          <w:szCs w:val="18"/>
          <w:vertAlign w:val="superscript"/>
          <w:lang w:val="es-ES"/>
        </w:rPr>
        <w:t>[1]</w:t>
      </w:r>
      <w:r w:rsidRPr="008A46A2">
        <w:rPr>
          <w:rFonts w:asciiTheme="minorHAnsi" w:hAnsiTheme="minorHAnsi" w:cstheme="minorBidi"/>
          <w:bCs/>
          <w:i/>
          <w:sz w:val="18"/>
          <w:szCs w:val="18"/>
          <w:lang w:val="es-ES"/>
        </w:rPr>
        <w:t xml:space="preserve"> Instituto Tecnológico Agrario de Castilla y León (</w:t>
      </w:r>
      <w:proofErr w:type="spellStart"/>
      <w:r w:rsidRPr="008A46A2">
        <w:rPr>
          <w:rFonts w:asciiTheme="minorHAnsi" w:hAnsiTheme="minorHAnsi" w:cstheme="minorBidi"/>
          <w:bCs/>
          <w:i/>
          <w:sz w:val="18"/>
          <w:szCs w:val="18"/>
          <w:lang w:val="es-ES"/>
        </w:rPr>
        <w:t>ITACyL</w:t>
      </w:r>
      <w:proofErr w:type="spellEnd"/>
      <w:r w:rsidRPr="008A46A2">
        <w:rPr>
          <w:rFonts w:asciiTheme="minorHAnsi" w:hAnsiTheme="minorHAnsi" w:cstheme="minorBidi"/>
          <w:bCs/>
          <w:i/>
          <w:sz w:val="18"/>
          <w:szCs w:val="18"/>
          <w:lang w:val="es-ES"/>
        </w:rPr>
        <w:t>)</w:t>
      </w:r>
    </w:p>
    <w:p w:rsidR="00435F31" w:rsidRPr="00254442" w:rsidRDefault="00607161" w:rsidP="008A46A2">
      <w:pPr>
        <w:jc w:val="center"/>
        <w:rPr>
          <w:rFonts w:asciiTheme="minorHAnsi" w:hAnsiTheme="minorHAnsi" w:cstheme="minorBidi"/>
          <w:bCs/>
          <w:i/>
          <w:sz w:val="18"/>
          <w:szCs w:val="18"/>
        </w:rPr>
      </w:pPr>
      <w:r w:rsidRPr="008A46A2">
        <w:rPr>
          <w:rFonts w:asciiTheme="minorHAnsi" w:hAnsiTheme="minorHAnsi" w:cstheme="minorBidi"/>
          <w:bCs/>
          <w:i/>
          <w:sz w:val="18"/>
          <w:szCs w:val="18"/>
          <w:vertAlign w:val="superscript"/>
          <w:lang w:val="es-ES"/>
        </w:rPr>
        <w:t>[2]</w:t>
      </w:r>
      <w:r w:rsidRPr="008A46A2">
        <w:rPr>
          <w:rFonts w:asciiTheme="minorHAnsi" w:hAnsiTheme="minorHAnsi" w:cstheme="minorBidi"/>
          <w:bCs/>
          <w:i/>
          <w:sz w:val="18"/>
          <w:szCs w:val="18"/>
          <w:lang w:val="es-ES"/>
        </w:rPr>
        <w:t xml:space="preserve"> DG de Política Agraria Comunitaria, Viceconsejería de Política Agraria Comunitaria y Desarrollo Rural, Consejería de Agricultura, Ganadería y Desarrollo Rural</w:t>
      </w:r>
      <w:r w:rsidR="00181120" w:rsidRPr="008A46A2">
        <w:rPr>
          <w:rFonts w:asciiTheme="minorHAnsi" w:hAnsiTheme="minorHAnsi" w:cstheme="minorBidi"/>
          <w:bCs/>
          <w:i/>
          <w:sz w:val="18"/>
          <w:szCs w:val="18"/>
          <w:lang w:val="es-ES"/>
        </w:rPr>
        <w:t xml:space="preserve">. </w:t>
      </w:r>
      <w:r w:rsidR="00181120" w:rsidRPr="00254442">
        <w:rPr>
          <w:rFonts w:asciiTheme="minorHAnsi" w:hAnsiTheme="minorHAnsi" w:cstheme="minorBidi"/>
          <w:bCs/>
          <w:i/>
          <w:sz w:val="18"/>
          <w:szCs w:val="18"/>
        </w:rPr>
        <w:t>Junta de Castilla y León.</w:t>
      </w:r>
    </w:p>
    <w:p w:rsidR="00607161" w:rsidRPr="00254442" w:rsidRDefault="00607161" w:rsidP="007E51CD">
      <w:pPr>
        <w:rPr>
          <w:rFonts w:asciiTheme="minorHAnsi" w:hAnsiTheme="minorHAnsi" w:cstheme="minorBidi"/>
          <w:b/>
          <w:bCs/>
          <w:sz w:val="18"/>
          <w:szCs w:val="18"/>
        </w:rPr>
      </w:pPr>
    </w:p>
    <w:p w:rsidR="00F519D0" w:rsidRPr="008A46A2" w:rsidRDefault="005F064C" w:rsidP="007E51CD">
      <w:pPr>
        <w:rPr>
          <w:rFonts w:asciiTheme="minorHAnsi" w:hAnsiTheme="minorHAnsi" w:cstheme="minorBidi"/>
          <w:b/>
          <w:bCs/>
          <w:sz w:val="28"/>
          <w:szCs w:val="28"/>
          <w:u w:val="single"/>
        </w:rPr>
      </w:pPr>
      <w:r w:rsidRPr="008A46A2">
        <w:rPr>
          <w:rFonts w:asciiTheme="minorHAnsi" w:hAnsiTheme="minorHAnsi" w:cstheme="minorBidi"/>
          <w:b/>
          <w:bCs/>
          <w:sz w:val="28"/>
          <w:szCs w:val="28"/>
          <w:u w:val="single"/>
        </w:rPr>
        <w:t>Abstract</w:t>
      </w:r>
    </w:p>
    <w:p w:rsidR="00F519D0" w:rsidRPr="005F064C" w:rsidRDefault="00F519D0" w:rsidP="00435F31">
      <w:pPr>
        <w:spacing w:after="120"/>
        <w:jc w:val="both"/>
        <w:rPr>
          <w:rFonts w:asciiTheme="minorHAnsi" w:hAnsiTheme="minorHAnsi" w:cstheme="minorBidi"/>
          <w:bCs/>
          <w:sz w:val="22"/>
          <w:szCs w:val="22"/>
          <w:lang w:val="en-US"/>
        </w:rPr>
      </w:pPr>
      <w:r w:rsidRPr="005F064C">
        <w:rPr>
          <w:rFonts w:asciiTheme="minorHAnsi" w:hAnsiTheme="minorHAnsi" w:cstheme="minorBidi"/>
          <w:bCs/>
          <w:sz w:val="22"/>
          <w:szCs w:val="22"/>
          <w:lang w:val="en-US"/>
        </w:rPr>
        <w:t xml:space="preserve">The presentation is framed </w:t>
      </w:r>
      <w:r w:rsidR="00C711FF">
        <w:rPr>
          <w:rFonts w:asciiTheme="minorHAnsi" w:hAnsiTheme="minorHAnsi" w:cstheme="minorBidi"/>
          <w:bCs/>
          <w:sz w:val="22"/>
          <w:szCs w:val="22"/>
          <w:lang w:val="en-US"/>
        </w:rPr>
        <w:t>within</w:t>
      </w:r>
      <w:r w:rsidRPr="005F064C">
        <w:rPr>
          <w:rFonts w:asciiTheme="minorHAnsi" w:hAnsiTheme="minorHAnsi" w:cstheme="minorBidi"/>
          <w:bCs/>
          <w:sz w:val="22"/>
          <w:szCs w:val="22"/>
          <w:lang w:val="en-US"/>
        </w:rPr>
        <w:t xml:space="preserve"> the operational A</w:t>
      </w:r>
      <w:r w:rsidR="00C711FF">
        <w:rPr>
          <w:rFonts w:asciiTheme="minorHAnsi" w:hAnsiTheme="minorHAnsi" w:cstheme="minorBidi"/>
          <w:bCs/>
          <w:sz w:val="22"/>
          <w:szCs w:val="22"/>
          <w:lang w:val="en-US"/>
        </w:rPr>
        <w:t xml:space="preserve">rea </w:t>
      </w:r>
      <w:r w:rsidRPr="005F064C">
        <w:rPr>
          <w:rFonts w:asciiTheme="minorHAnsi" w:hAnsiTheme="minorHAnsi" w:cstheme="minorBidi"/>
          <w:bCs/>
          <w:sz w:val="22"/>
          <w:szCs w:val="22"/>
          <w:lang w:val="en-US"/>
        </w:rPr>
        <w:t>M</w:t>
      </w:r>
      <w:r w:rsidR="00C711FF">
        <w:rPr>
          <w:rFonts w:asciiTheme="minorHAnsi" w:hAnsiTheme="minorHAnsi" w:cstheme="minorBidi"/>
          <w:bCs/>
          <w:sz w:val="22"/>
          <w:szCs w:val="22"/>
          <w:lang w:val="en-US"/>
        </w:rPr>
        <w:t xml:space="preserve">onitoring </w:t>
      </w:r>
      <w:r w:rsidRPr="005F064C">
        <w:rPr>
          <w:rFonts w:asciiTheme="minorHAnsi" w:hAnsiTheme="minorHAnsi" w:cstheme="minorBidi"/>
          <w:bCs/>
          <w:sz w:val="22"/>
          <w:szCs w:val="22"/>
          <w:lang w:val="en-US"/>
        </w:rPr>
        <w:t>S</w:t>
      </w:r>
      <w:r w:rsidR="00C711FF">
        <w:rPr>
          <w:rFonts w:asciiTheme="minorHAnsi" w:hAnsiTheme="minorHAnsi" w:cstheme="minorBidi"/>
          <w:bCs/>
          <w:sz w:val="22"/>
          <w:szCs w:val="22"/>
          <w:lang w:val="en-US"/>
        </w:rPr>
        <w:t>ystem (AMS)</w:t>
      </w:r>
      <w:r w:rsidRPr="005F064C">
        <w:rPr>
          <w:rFonts w:asciiTheme="minorHAnsi" w:hAnsiTheme="minorHAnsi" w:cstheme="minorBidi"/>
          <w:bCs/>
          <w:sz w:val="22"/>
          <w:szCs w:val="22"/>
          <w:lang w:val="en-US"/>
        </w:rPr>
        <w:t xml:space="preserve"> of C</w:t>
      </w:r>
      <w:r w:rsidR="00181120">
        <w:rPr>
          <w:rFonts w:asciiTheme="minorHAnsi" w:hAnsiTheme="minorHAnsi" w:cstheme="minorBidi"/>
          <w:bCs/>
          <w:sz w:val="22"/>
          <w:szCs w:val="22"/>
          <w:lang w:val="en-US"/>
        </w:rPr>
        <w:t xml:space="preserve">astilla </w:t>
      </w:r>
      <w:r w:rsidRPr="005F064C">
        <w:rPr>
          <w:rFonts w:asciiTheme="minorHAnsi" w:hAnsiTheme="minorHAnsi" w:cstheme="minorBidi"/>
          <w:bCs/>
          <w:sz w:val="22"/>
          <w:szCs w:val="22"/>
          <w:lang w:val="en-US"/>
        </w:rPr>
        <w:t>y</w:t>
      </w:r>
      <w:r w:rsidR="00181120">
        <w:rPr>
          <w:rFonts w:asciiTheme="minorHAnsi" w:hAnsiTheme="minorHAnsi" w:cstheme="minorBidi"/>
          <w:bCs/>
          <w:sz w:val="22"/>
          <w:szCs w:val="22"/>
          <w:lang w:val="en-US"/>
        </w:rPr>
        <w:t xml:space="preserve"> </w:t>
      </w:r>
      <w:r w:rsidRPr="005F064C">
        <w:rPr>
          <w:rFonts w:asciiTheme="minorHAnsi" w:hAnsiTheme="minorHAnsi" w:cstheme="minorBidi"/>
          <w:bCs/>
          <w:sz w:val="22"/>
          <w:szCs w:val="22"/>
          <w:lang w:val="en-US"/>
        </w:rPr>
        <w:t>L</w:t>
      </w:r>
      <w:r w:rsidR="00181120">
        <w:rPr>
          <w:rFonts w:asciiTheme="minorHAnsi" w:hAnsiTheme="minorHAnsi" w:cstheme="minorBidi"/>
          <w:bCs/>
          <w:sz w:val="22"/>
          <w:szCs w:val="22"/>
          <w:lang w:val="en-US"/>
        </w:rPr>
        <w:t>eón</w:t>
      </w:r>
      <w:r w:rsidRPr="005F064C">
        <w:rPr>
          <w:rFonts w:asciiTheme="minorHAnsi" w:hAnsiTheme="minorHAnsi" w:cstheme="minorBidi"/>
          <w:bCs/>
          <w:sz w:val="22"/>
          <w:szCs w:val="22"/>
          <w:lang w:val="en-US"/>
        </w:rPr>
        <w:t xml:space="preserve"> P</w:t>
      </w:r>
      <w:r w:rsidR="00181120">
        <w:rPr>
          <w:rFonts w:asciiTheme="minorHAnsi" w:hAnsiTheme="minorHAnsi" w:cstheme="minorBidi"/>
          <w:bCs/>
          <w:sz w:val="22"/>
          <w:szCs w:val="22"/>
          <w:lang w:val="en-US"/>
        </w:rPr>
        <w:t xml:space="preserve">aying </w:t>
      </w:r>
      <w:r w:rsidRPr="005F064C">
        <w:rPr>
          <w:rFonts w:asciiTheme="minorHAnsi" w:hAnsiTheme="minorHAnsi" w:cstheme="minorBidi"/>
          <w:bCs/>
          <w:sz w:val="22"/>
          <w:szCs w:val="22"/>
          <w:lang w:val="en-US"/>
        </w:rPr>
        <w:t>A</w:t>
      </w:r>
      <w:r w:rsidR="00181120">
        <w:rPr>
          <w:rFonts w:asciiTheme="minorHAnsi" w:hAnsiTheme="minorHAnsi" w:cstheme="minorBidi"/>
          <w:bCs/>
          <w:sz w:val="22"/>
          <w:szCs w:val="22"/>
          <w:lang w:val="en-US"/>
        </w:rPr>
        <w:t>gency</w:t>
      </w:r>
      <w:r w:rsidRPr="005F064C">
        <w:rPr>
          <w:rFonts w:asciiTheme="minorHAnsi" w:hAnsiTheme="minorHAnsi" w:cstheme="minorBidi"/>
          <w:bCs/>
          <w:sz w:val="22"/>
          <w:szCs w:val="22"/>
          <w:lang w:val="en-US"/>
        </w:rPr>
        <w:t xml:space="preserve">. </w:t>
      </w:r>
      <w:r w:rsidR="007E51CD" w:rsidRPr="005F064C">
        <w:rPr>
          <w:rFonts w:asciiTheme="minorHAnsi" w:hAnsiTheme="minorHAnsi" w:cstheme="minorBidi"/>
          <w:bCs/>
          <w:sz w:val="22"/>
          <w:szCs w:val="22"/>
          <w:lang w:val="en-US"/>
        </w:rPr>
        <w:t>The Regional Ministry of Agriculture of Castilla y Leon</w:t>
      </w:r>
      <w:r w:rsidR="00C711FF">
        <w:rPr>
          <w:rFonts w:asciiTheme="minorHAnsi" w:hAnsiTheme="minorHAnsi" w:cstheme="minorBidi"/>
          <w:bCs/>
          <w:sz w:val="22"/>
          <w:szCs w:val="22"/>
          <w:lang w:val="en-US"/>
        </w:rPr>
        <w:t xml:space="preserve"> </w:t>
      </w:r>
      <w:r w:rsidR="00C711FF" w:rsidRPr="005F064C">
        <w:rPr>
          <w:rFonts w:asciiTheme="minorHAnsi" w:hAnsiTheme="minorHAnsi" w:cstheme="minorBidi"/>
          <w:bCs/>
          <w:sz w:val="22"/>
          <w:szCs w:val="22"/>
          <w:lang w:val="en-US"/>
        </w:rPr>
        <w:t>is one of the sevent</w:t>
      </w:r>
      <w:r w:rsidR="00254442">
        <w:rPr>
          <w:rFonts w:asciiTheme="minorHAnsi" w:hAnsiTheme="minorHAnsi" w:cstheme="minorBidi"/>
          <w:bCs/>
          <w:sz w:val="22"/>
          <w:szCs w:val="22"/>
          <w:lang w:val="en-US"/>
        </w:rPr>
        <w:t>een</w:t>
      </w:r>
      <w:bookmarkStart w:id="0" w:name="_GoBack"/>
      <w:bookmarkEnd w:id="0"/>
      <w:r w:rsidR="00C711FF" w:rsidRPr="005F064C">
        <w:rPr>
          <w:rFonts w:asciiTheme="minorHAnsi" w:hAnsiTheme="minorHAnsi" w:cstheme="minorBidi"/>
          <w:bCs/>
          <w:sz w:val="22"/>
          <w:szCs w:val="22"/>
          <w:lang w:val="en-US"/>
        </w:rPr>
        <w:t xml:space="preserve"> Paying Agencies in Spain</w:t>
      </w:r>
      <w:r w:rsidR="007E51CD" w:rsidRPr="005F064C">
        <w:rPr>
          <w:rFonts w:asciiTheme="minorHAnsi" w:hAnsiTheme="minorHAnsi" w:cstheme="minorBidi"/>
          <w:bCs/>
          <w:sz w:val="22"/>
          <w:szCs w:val="22"/>
          <w:lang w:val="en-US"/>
        </w:rPr>
        <w:t xml:space="preserve"> </w:t>
      </w:r>
      <w:r w:rsidR="00C711FF">
        <w:rPr>
          <w:rFonts w:asciiTheme="minorHAnsi" w:hAnsiTheme="minorHAnsi" w:cstheme="minorBidi"/>
          <w:bCs/>
          <w:sz w:val="22"/>
          <w:szCs w:val="22"/>
          <w:lang w:val="en-US"/>
        </w:rPr>
        <w:t>that are</w:t>
      </w:r>
      <w:r w:rsidR="00C711FF" w:rsidRPr="005F064C">
        <w:rPr>
          <w:rFonts w:asciiTheme="minorHAnsi" w:hAnsiTheme="minorHAnsi" w:cstheme="minorBidi"/>
          <w:bCs/>
          <w:sz w:val="22"/>
          <w:szCs w:val="22"/>
          <w:lang w:val="en-US"/>
        </w:rPr>
        <w:t xml:space="preserve"> coordinat</w:t>
      </w:r>
      <w:r w:rsidR="00C711FF">
        <w:rPr>
          <w:rFonts w:asciiTheme="minorHAnsi" w:hAnsiTheme="minorHAnsi" w:cstheme="minorBidi"/>
          <w:bCs/>
          <w:sz w:val="22"/>
          <w:szCs w:val="22"/>
          <w:lang w:val="en-US"/>
        </w:rPr>
        <w:t>ed</w:t>
      </w:r>
      <w:r w:rsidR="00C711FF" w:rsidRPr="005F064C">
        <w:rPr>
          <w:rFonts w:asciiTheme="minorHAnsi" w:hAnsiTheme="minorHAnsi" w:cstheme="minorBidi"/>
          <w:bCs/>
          <w:sz w:val="22"/>
          <w:szCs w:val="22"/>
          <w:lang w:val="en-US"/>
        </w:rPr>
        <w:t xml:space="preserve"> </w:t>
      </w:r>
      <w:r w:rsidR="00C711FF">
        <w:rPr>
          <w:rFonts w:asciiTheme="minorHAnsi" w:hAnsiTheme="minorHAnsi" w:cstheme="minorBidi"/>
          <w:bCs/>
          <w:sz w:val="22"/>
          <w:szCs w:val="22"/>
          <w:lang w:val="en-US"/>
        </w:rPr>
        <w:t>by</w:t>
      </w:r>
      <w:r w:rsidR="00C711FF" w:rsidRPr="005F064C">
        <w:rPr>
          <w:rFonts w:asciiTheme="minorHAnsi" w:hAnsiTheme="minorHAnsi" w:cstheme="minorBidi"/>
          <w:bCs/>
          <w:sz w:val="22"/>
          <w:szCs w:val="22"/>
          <w:lang w:val="en-US"/>
        </w:rPr>
        <w:t xml:space="preserve"> </w:t>
      </w:r>
      <w:r w:rsidR="007E51CD" w:rsidRPr="005F064C">
        <w:rPr>
          <w:rFonts w:asciiTheme="minorHAnsi" w:hAnsiTheme="minorHAnsi" w:cstheme="minorBidi"/>
          <w:bCs/>
          <w:sz w:val="22"/>
          <w:szCs w:val="22"/>
          <w:lang w:val="en-US"/>
        </w:rPr>
        <w:t xml:space="preserve">the Spanish Agrarian Guarantee Fund (FEGA). The </w:t>
      </w:r>
      <w:proofErr w:type="spellStart"/>
      <w:r w:rsidR="007E51CD" w:rsidRPr="005F064C">
        <w:rPr>
          <w:rFonts w:asciiTheme="minorHAnsi" w:hAnsiTheme="minorHAnsi" w:cstheme="minorBidi"/>
          <w:bCs/>
          <w:sz w:val="22"/>
          <w:szCs w:val="22"/>
          <w:lang w:val="en-US"/>
        </w:rPr>
        <w:t>agro</w:t>
      </w:r>
      <w:proofErr w:type="spellEnd"/>
      <w:r w:rsidR="007E51CD" w:rsidRPr="005F064C">
        <w:rPr>
          <w:rFonts w:asciiTheme="minorHAnsi" w:hAnsiTheme="minorHAnsi" w:cstheme="minorBidi"/>
          <w:bCs/>
          <w:sz w:val="22"/>
          <w:szCs w:val="22"/>
          <w:lang w:val="en-US"/>
        </w:rPr>
        <w:t>-technological Institute of Castilla y Leon (</w:t>
      </w:r>
      <w:proofErr w:type="spellStart"/>
      <w:r w:rsidR="007E51CD" w:rsidRPr="005F064C">
        <w:rPr>
          <w:rFonts w:asciiTheme="minorHAnsi" w:hAnsiTheme="minorHAnsi" w:cstheme="minorBidi"/>
          <w:bCs/>
          <w:sz w:val="22"/>
          <w:szCs w:val="22"/>
          <w:lang w:val="en-US"/>
        </w:rPr>
        <w:t>ITACyL</w:t>
      </w:r>
      <w:proofErr w:type="spellEnd"/>
      <w:r w:rsidR="007E51CD" w:rsidRPr="005F064C">
        <w:rPr>
          <w:rFonts w:asciiTheme="minorHAnsi" w:hAnsiTheme="minorHAnsi" w:cstheme="minorBidi"/>
          <w:bCs/>
          <w:sz w:val="22"/>
          <w:szCs w:val="22"/>
          <w:lang w:val="en-US"/>
        </w:rPr>
        <w:t xml:space="preserve">) is a public entity that gives technical support to the Regional Ministry of Agriculture and runs and manages the AMS in the Region. Castilla y Leon is </w:t>
      </w:r>
      <w:r w:rsidR="00C711FF">
        <w:rPr>
          <w:rFonts w:asciiTheme="minorHAnsi" w:hAnsiTheme="minorHAnsi" w:cstheme="minorBidi"/>
          <w:bCs/>
          <w:sz w:val="22"/>
          <w:szCs w:val="22"/>
          <w:lang w:val="en-US"/>
        </w:rPr>
        <w:t xml:space="preserve">the </w:t>
      </w:r>
      <w:r w:rsidR="007E51CD" w:rsidRPr="005F064C">
        <w:rPr>
          <w:rFonts w:asciiTheme="minorHAnsi" w:hAnsiTheme="minorHAnsi" w:cstheme="minorBidi"/>
          <w:bCs/>
          <w:sz w:val="22"/>
          <w:szCs w:val="22"/>
          <w:lang w:val="en-US"/>
        </w:rPr>
        <w:t>largest region in Spain (94</w:t>
      </w:r>
      <w:r w:rsidR="00C711FF">
        <w:rPr>
          <w:rFonts w:asciiTheme="minorHAnsi" w:hAnsiTheme="minorHAnsi" w:cstheme="minorBidi"/>
          <w:bCs/>
          <w:sz w:val="22"/>
          <w:szCs w:val="22"/>
          <w:lang w:val="en-US"/>
        </w:rPr>
        <w:t>,</w:t>
      </w:r>
      <w:r w:rsidR="007E51CD" w:rsidRPr="005F064C">
        <w:rPr>
          <w:rFonts w:asciiTheme="minorHAnsi" w:hAnsiTheme="minorHAnsi" w:cstheme="minorBidi"/>
          <w:bCs/>
          <w:sz w:val="22"/>
          <w:szCs w:val="22"/>
          <w:lang w:val="en-US"/>
        </w:rPr>
        <w:t xml:space="preserve">224 Km2) with more than five million hectares of cropland, distributed </w:t>
      </w:r>
      <w:r w:rsidR="00C711FF">
        <w:rPr>
          <w:rFonts w:asciiTheme="minorHAnsi" w:hAnsiTheme="minorHAnsi" w:cstheme="minorBidi"/>
          <w:bCs/>
          <w:sz w:val="22"/>
          <w:szCs w:val="22"/>
          <w:lang w:val="en-US"/>
        </w:rPr>
        <w:t>across</w:t>
      </w:r>
      <w:r w:rsidR="00C711FF" w:rsidRPr="005F064C">
        <w:rPr>
          <w:rFonts w:asciiTheme="minorHAnsi" w:hAnsiTheme="minorHAnsi" w:cstheme="minorBidi"/>
          <w:bCs/>
          <w:sz w:val="22"/>
          <w:szCs w:val="22"/>
          <w:lang w:val="en-US"/>
        </w:rPr>
        <w:t xml:space="preserve"> </w:t>
      </w:r>
      <w:r w:rsidR="007E51CD" w:rsidRPr="005F064C">
        <w:rPr>
          <w:rFonts w:asciiTheme="minorHAnsi" w:hAnsiTheme="minorHAnsi" w:cstheme="minorBidi"/>
          <w:bCs/>
          <w:sz w:val="22"/>
          <w:szCs w:val="22"/>
          <w:lang w:val="en-US"/>
        </w:rPr>
        <w:t xml:space="preserve">more than </w:t>
      </w:r>
      <w:r w:rsidR="00C711FF">
        <w:rPr>
          <w:rFonts w:asciiTheme="minorHAnsi" w:hAnsiTheme="minorHAnsi" w:cstheme="minorBidi"/>
          <w:bCs/>
          <w:sz w:val="22"/>
          <w:szCs w:val="22"/>
          <w:lang w:val="en-US"/>
        </w:rPr>
        <w:t>3.7</w:t>
      </w:r>
      <w:r w:rsidR="00C711FF" w:rsidRPr="005F064C">
        <w:rPr>
          <w:rFonts w:asciiTheme="minorHAnsi" w:hAnsiTheme="minorHAnsi" w:cstheme="minorBidi"/>
          <w:bCs/>
          <w:sz w:val="22"/>
          <w:szCs w:val="22"/>
          <w:lang w:val="en-US"/>
        </w:rPr>
        <w:t xml:space="preserve"> </w:t>
      </w:r>
      <w:r w:rsidR="007E51CD" w:rsidRPr="005F064C">
        <w:rPr>
          <w:rFonts w:asciiTheme="minorHAnsi" w:hAnsiTheme="minorHAnsi" w:cstheme="minorBidi"/>
          <w:bCs/>
          <w:sz w:val="22"/>
          <w:szCs w:val="22"/>
          <w:lang w:val="en-US"/>
        </w:rPr>
        <w:t xml:space="preserve">million parcels declared by </w:t>
      </w:r>
      <w:r w:rsidR="00C711FF">
        <w:rPr>
          <w:rFonts w:asciiTheme="minorHAnsi" w:hAnsiTheme="minorHAnsi" w:cstheme="minorBidi"/>
          <w:bCs/>
          <w:sz w:val="22"/>
          <w:szCs w:val="22"/>
          <w:lang w:val="en-US"/>
        </w:rPr>
        <w:t>around</w:t>
      </w:r>
      <w:r w:rsidRPr="005F064C">
        <w:rPr>
          <w:rFonts w:asciiTheme="minorHAnsi" w:hAnsiTheme="minorHAnsi" w:cstheme="minorBidi"/>
          <w:bCs/>
          <w:sz w:val="22"/>
          <w:szCs w:val="22"/>
          <w:lang w:val="en-US"/>
        </w:rPr>
        <w:t xml:space="preserve"> </w:t>
      </w:r>
      <w:r w:rsidR="00C711FF">
        <w:rPr>
          <w:rFonts w:asciiTheme="minorHAnsi" w:hAnsiTheme="minorHAnsi" w:cstheme="minorBidi"/>
          <w:bCs/>
          <w:sz w:val="22"/>
          <w:szCs w:val="22"/>
          <w:lang w:val="en-US"/>
        </w:rPr>
        <w:t>56,000</w:t>
      </w:r>
      <w:r w:rsidR="007E51CD" w:rsidRPr="005F064C">
        <w:rPr>
          <w:rFonts w:asciiTheme="minorHAnsi" w:hAnsiTheme="minorHAnsi" w:cstheme="minorBidi"/>
          <w:bCs/>
          <w:sz w:val="22"/>
          <w:szCs w:val="22"/>
          <w:lang w:val="en-US"/>
        </w:rPr>
        <w:t xml:space="preserve"> thousand applicants for CAP subsidies (in 202</w:t>
      </w:r>
      <w:r w:rsidRPr="005F064C">
        <w:rPr>
          <w:rFonts w:asciiTheme="minorHAnsi" w:hAnsiTheme="minorHAnsi" w:cstheme="minorBidi"/>
          <w:bCs/>
          <w:sz w:val="22"/>
          <w:szCs w:val="22"/>
          <w:lang w:val="en-US"/>
        </w:rPr>
        <w:t>5</w:t>
      </w:r>
      <w:r w:rsidR="007E51CD" w:rsidRPr="005F064C">
        <w:rPr>
          <w:rFonts w:asciiTheme="minorHAnsi" w:hAnsiTheme="minorHAnsi" w:cstheme="minorBidi"/>
          <w:bCs/>
          <w:sz w:val="22"/>
          <w:szCs w:val="22"/>
          <w:lang w:val="en-US"/>
        </w:rPr>
        <w:t xml:space="preserve">). </w:t>
      </w:r>
    </w:p>
    <w:p w:rsidR="0002367B" w:rsidRPr="005F064C" w:rsidRDefault="0002367B" w:rsidP="00435F31">
      <w:pPr>
        <w:spacing w:after="120"/>
        <w:jc w:val="both"/>
        <w:rPr>
          <w:rFonts w:asciiTheme="minorHAnsi" w:hAnsiTheme="minorHAnsi" w:cstheme="minorBidi"/>
          <w:bCs/>
          <w:sz w:val="22"/>
          <w:szCs w:val="22"/>
          <w:lang w:val="en-US"/>
        </w:rPr>
      </w:pPr>
      <w:r w:rsidRPr="0002367B">
        <w:rPr>
          <w:rFonts w:asciiTheme="minorHAnsi" w:hAnsiTheme="minorHAnsi" w:cstheme="minorBidi"/>
          <w:bCs/>
          <w:sz w:val="22"/>
          <w:szCs w:val="22"/>
          <w:lang w:val="en-US"/>
        </w:rPr>
        <w:t xml:space="preserve">An AMS must provide evidence (markers) that </w:t>
      </w:r>
      <w:r w:rsidR="00C711FF">
        <w:rPr>
          <w:rFonts w:asciiTheme="minorHAnsi" w:hAnsiTheme="minorHAnsi" w:cstheme="minorBidi"/>
          <w:bCs/>
          <w:sz w:val="22"/>
          <w:szCs w:val="22"/>
          <w:lang w:val="en-US"/>
        </w:rPr>
        <w:t>enable</w:t>
      </w:r>
      <w:r w:rsidRPr="0002367B">
        <w:rPr>
          <w:rFonts w:asciiTheme="minorHAnsi" w:hAnsiTheme="minorHAnsi" w:cstheme="minorBidi"/>
          <w:bCs/>
          <w:sz w:val="22"/>
          <w:szCs w:val="22"/>
          <w:lang w:val="en-US"/>
        </w:rPr>
        <w:t xml:space="preserve"> the PA to make a fair judgment on the compliance of each declared parcel with the monitorable </w:t>
      </w:r>
      <w:r w:rsidR="00C711FF">
        <w:rPr>
          <w:rFonts w:asciiTheme="minorHAnsi" w:hAnsiTheme="minorHAnsi" w:cstheme="minorBidi"/>
          <w:bCs/>
          <w:sz w:val="22"/>
          <w:szCs w:val="22"/>
          <w:lang w:val="en-US"/>
        </w:rPr>
        <w:t>eligibility conditions</w:t>
      </w:r>
      <w:r w:rsidRPr="0002367B">
        <w:rPr>
          <w:rFonts w:asciiTheme="minorHAnsi" w:hAnsiTheme="minorHAnsi" w:cstheme="minorBidi"/>
          <w:bCs/>
          <w:sz w:val="22"/>
          <w:szCs w:val="22"/>
          <w:lang w:val="en-US"/>
        </w:rPr>
        <w:t xml:space="preserve">. This evidence is mainly derived from the analysis of </w:t>
      </w:r>
      <w:r w:rsidR="003F279B">
        <w:rPr>
          <w:rFonts w:asciiTheme="minorHAnsi" w:hAnsiTheme="minorHAnsi" w:cstheme="minorBidi"/>
          <w:bCs/>
          <w:sz w:val="22"/>
          <w:szCs w:val="22"/>
          <w:lang w:val="en-US"/>
        </w:rPr>
        <w:t>time</w:t>
      </w:r>
      <w:r w:rsidRPr="0002367B">
        <w:rPr>
          <w:rFonts w:asciiTheme="minorHAnsi" w:hAnsiTheme="minorHAnsi" w:cstheme="minorBidi"/>
          <w:bCs/>
          <w:sz w:val="22"/>
          <w:szCs w:val="22"/>
          <w:lang w:val="en-US"/>
        </w:rPr>
        <w:t xml:space="preserve"> series of Sentinel images throughout the season. In addition to </w:t>
      </w:r>
      <w:r w:rsidR="003F279B">
        <w:rPr>
          <w:rFonts w:asciiTheme="minorHAnsi" w:hAnsiTheme="minorHAnsi" w:cstheme="minorBidi"/>
          <w:bCs/>
          <w:sz w:val="22"/>
          <w:szCs w:val="22"/>
          <w:lang w:val="en-US"/>
        </w:rPr>
        <w:t>being used</w:t>
      </w:r>
      <w:r w:rsidRPr="0002367B">
        <w:rPr>
          <w:rFonts w:asciiTheme="minorHAnsi" w:hAnsiTheme="minorHAnsi" w:cstheme="minorBidi"/>
          <w:bCs/>
          <w:sz w:val="22"/>
          <w:szCs w:val="22"/>
          <w:lang w:val="en-US"/>
        </w:rPr>
        <w:t xml:space="preserve"> </w:t>
      </w:r>
      <w:r w:rsidR="003F279B">
        <w:rPr>
          <w:rFonts w:asciiTheme="minorHAnsi" w:hAnsiTheme="minorHAnsi" w:cstheme="minorBidi"/>
          <w:bCs/>
          <w:sz w:val="22"/>
          <w:szCs w:val="22"/>
          <w:lang w:val="en-US"/>
        </w:rPr>
        <w:t>in</w:t>
      </w:r>
      <w:r w:rsidRPr="0002367B">
        <w:rPr>
          <w:rFonts w:asciiTheme="minorHAnsi" w:hAnsiTheme="minorHAnsi" w:cstheme="minorBidi"/>
          <w:bCs/>
          <w:sz w:val="22"/>
          <w:szCs w:val="22"/>
          <w:lang w:val="en-US"/>
        </w:rPr>
        <w:t xml:space="preserve"> ML/DL algorithms, the expert analysis of such temporal series enables a better understanding of coverage behavior in the plot and supports the definition of thresholds to detect changes in coverage due to, for instance, agricultural practices. In this regard, having an adapted pattern for each parcel that characterizes the presence of a certain type of coverage is clearly valuable. However, identifying such patterns requires long-term studies, which are difficult to conduct in the context of an operational AMS.</w:t>
      </w:r>
    </w:p>
    <w:p w:rsidR="00B9337D" w:rsidRPr="005F064C" w:rsidRDefault="00B9337D" w:rsidP="00435F31">
      <w:pPr>
        <w:spacing w:after="120"/>
        <w:jc w:val="both"/>
        <w:rPr>
          <w:rFonts w:asciiTheme="minorHAnsi" w:hAnsiTheme="minorHAnsi" w:cstheme="minorBidi"/>
          <w:bCs/>
          <w:sz w:val="22"/>
          <w:szCs w:val="22"/>
          <w:lang w:val="en-US"/>
        </w:rPr>
      </w:pPr>
      <w:r w:rsidRPr="005F064C">
        <w:rPr>
          <w:rFonts w:asciiTheme="minorHAnsi" w:hAnsiTheme="minorHAnsi" w:cstheme="minorBidi"/>
          <w:bCs/>
          <w:sz w:val="22"/>
          <w:szCs w:val="22"/>
          <w:lang w:val="en-US"/>
        </w:rPr>
        <w:t xml:space="preserve">In January 2025, the German Aerospace Center (DLR) and The Remote Sensing Technology Institute (IMF) </w:t>
      </w:r>
      <w:r w:rsidR="00C353BE" w:rsidRPr="005F064C">
        <w:rPr>
          <w:rFonts w:asciiTheme="minorHAnsi" w:hAnsiTheme="minorHAnsi" w:cstheme="minorBidi"/>
          <w:bCs/>
          <w:sz w:val="22"/>
          <w:szCs w:val="22"/>
          <w:lang w:val="en-US"/>
        </w:rPr>
        <w:t>published</w:t>
      </w:r>
      <w:r w:rsidRPr="005F064C">
        <w:rPr>
          <w:rFonts w:asciiTheme="minorHAnsi" w:hAnsiTheme="minorHAnsi" w:cstheme="minorBidi"/>
          <w:bCs/>
          <w:sz w:val="22"/>
          <w:szCs w:val="22"/>
          <w:lang w:val="en-US"/>
        </w:rPr>
        <w:t xml:space="preserve"> the</w:t>
      </w:r>
      <w:r w:rsidR="00CF547B" w:rsidRPr="005F064C">
        <w:rPr>
          <w:rFonts w:asciiTheme="minorHAnsi" w:hAnsiTheme="minorHAnsi" w:cstheme="minorBidi"/>
          <w:bCs/>
          <w:sz w:val="22"/>
          <w:szCs w:val="22"/>
          <w:lang w:val="en-US"/>
        </w:rPr>
        <w:t xml:space="preserve"> </w:t>
      </w:r>
      <w:proofErr w:type="spellStart"/>
      <w:r w:rsidR="00CF547B" w:rsidRPr="008A46A2">
        <w:rPr>
          <w:rFonts w:asciiTheme="minorHAnsi" w:hAnsiTheme="minorHAnsi" w:cstheme="minorBidi"/>
          <w:bCs/>
          <w:i/>
          <w:sz w:val="22"/>
          <w:szCs w:val="22"/>
          <w:lang w:val="en-US"/>
        </w:rPr>
        <w:t>SoilSuite</w:t>
      </w:r>
      <w:proofErr w:type="spellEnd"/>
      <w:r w:rsidRPr="005F064C">
        <w:rPr>
          <w:rFonts w:asciiTheme="minorHAnsi" w:hAnsiTheme="minorHAnsi" w:cstheme="minorBidi"/>
          <w:bCs/>
          <w:sz w:val="22"/>
          <w:szCs w:val="22"/>
          <w:lang w:val="en-US"/>
        </w:rPr>
        <w:t xml:space="preserve"> </w:t>
      </w:r>
      <w:r w:rsidRPr="008A46A2">
        <w:rPr>
          <w:rFonts w:asciiTheme="minorHAnsi" w:hAnsiTheme="minorHAnsi" w:cstheme="minorBidi"/>
          <w:bCs/>
          <w:i/>
          <w:sz w:val="22"/>
          <w:szCs w:val="22"/>
          <w:lang w:val="en-US"/>
        </w:rPr>
        <w:t>for Europe</w:t>
      </w:r>
      <w:r w:rsidRPr="005F064C">
        <w:rPr>
          <w:rFonts w:asciiTheme="minorHAnsi" w:hAnsiTheme="minorHAnsi" w:cstheme="minorBidi"/>
          <w:bCs/>
          <w:sz w:val="22"/>
          <w:szCs w:val="22"/>
          <w:lang w:val="en-US"/>
        </w:rPr>
        <w:t>. This suite</w:t>
      </w:r>
      <w:r w:rsidR="00CF547B" w:rsidRPr="005F064C">
        <w:rPr>
          <w:rFonts w:asciiTheme="minorHAnsi" w:hAnsiTheme="minorHAnsi" w:cstheme="minorBidi"/>
          <w:bCs/>
          <w:sz w:val="22"/>
          <w:szCs w:val="22"/>
          <w:lang w:val="en-US"/>
        </w:rPr>
        <w:t xml:space="preserve"> </w:t>
      </w:r>
      <w:r w:rsidRPr="005F064C">
        <w:rPr>
          <w:rFonts w:asciiTheme="minorHAnsi" w:hAnsiTheme="minorHAnsi" w:cstheme="minorBidi"/>
          <w:bCs/>
          <w:sz w:val="22"/>
          <w:szCs w:val="22"/>
          <w:lang w:val="en-US"/>
        </w:rPr>
        <w:t>offers</w:t>
      </w:r>
      <w:r w:rsidR="00CF547B" w:rsidRPr="005F064C">
        <w:rPr>
          <w:rFonts w:asciiTheme="minorHAnsi" w:hAnsiTheme="minorHAnsi" w:cstheme="minorBidi"/>
          <w:bCs/>
          <w:sz w:val="22"/>
          <w:szCs w:val="22"/>
          <w:lang w:val="en-US"/>
        </w:rPr>
        <w:t xml:space="preserve"> a collection of image data products </w:t>
      </w:r>
      <w:r w:rsidR="003F279B">
        <w:rPr>
          <w:rFonts w:asciiTheme="minorHAnsi" w:hAnsiTheme="minorHAnsi" w:cstheme="minorBidi"/>
          <w:bCs/>
          <w:sz w:val="22"/>
          <w:szCs w:val="22"/>
          <w:lang w:val="en-US"/>
        </w:rPr>
        <w:t xml:space="preserve">that </w:t>
      </w:r>
      <w:r w:rsidR="003F279B" w:rsidRPr="005F064C">
        <w:rPr>
          <w:rFonts w:asciiTheme="minorHAnsi" w:hAnsiTheme="minorHAnsi" w:cstheme="minorBidi"/>
          <w:bCs/>
          <w:sz w:val="22"/>
          <w:szCs w:val="22"/>
          <w:lang w:val="en-US"/>
        </w:rPr>
        <w:t>provid</w:t>
      </w:r>
      <w:r w:rsidR="003F279B">
        <w:rPr>
          <w:rFonts w:asciiTheme="minorHAnsi" w:hAnsiTheme="minorHAnsi" w:cstheme="minorBidi"/>
          <w:bCs/>
          <w:sz w:val="22"/>
          <w:szCs w:val="22"/>
          <w:lang w:val="en-US"/>
        </w:rPr>
        <w:t>e</w:t>
      </w:r>
      <w:r w:rsidR="003F279B" w:rsidRPr="005F064C">
        <w:rPr>
          <w:rFonts w:asciiTheme="minorHAnsi" w:hAnsiTheme="minorHAnsi" w:cstheme="minorBidi"/>
          <w:bCs/>
          <w:sz w:val="22"/>
          <w:szCs w:val="22"/>
          <w:lang w:val="en-US"/>
        </w:rPr>
        <w:t xml:space="preserve"> </w:t>
      </w:r>
      <w:r w:rsidR="00CF547B" w:rsidRPr="005F064C">
        <w:rPr>
          <w:rFonts w:asciiTheme="minorHAnsi" w:hAnsiTheme="minorHAnsi" w:cstheme="minorBidi"/>
          <w:bCs/>
          <w:sz w:val="22"/>
          <w:szCs w:val="22"/>
          <w:lang w:val="en-US"/>
        </w:rPr>
        <w:t>information about the spectral and statistical properties of European soils</w:t>
      </w:r>
      <w:r w:rsidRPr="005F064C">
        <w:rPr>
          <w:rFonts w:asciiTheme="minorHAnsi" w:hAnsiTheme="minorHAnsi" w:cstheme="minorBidi"/>
          <w:bCs/>
          <w:sz w:val="22"/>
          <w:szCs w:val="22"/>
          <w:lang w:val="en-US"/>
        </w:rPr>
        <w:t>.</w:t>
      </w:r>
      <w:r w:rsidR="00CF547B" w:rsidRPr="005F064C">
        <w:rPr>
          <w:rFonts w:asciiTheme="minorHAnsi" w:hAnsiTheme="minorHAnsi" w:cstheme="minorBidi"/>
          <w:bCs/>
          <w:sz w:val="22"/>
          <w:szCs w:val="22"/>
          <w:lang w:val="en-US"/>
        </w:rPr>
        <w:t xml:space="preserve"> </w:t>
      </w:r>
      <w:r w:rsidRPr="005F064C">
        <w:rPr>
          <w:rFonts w:asciiTheme="minorHAnsi" w:hAnsiTheme="minorHAnsi" w:cstheme="minorBidi"/>
          <w:bCs/>
          <w:sz w:val="22"/>
          <w:szCs w:val="22"/>
          <w:lang w:val="en-US"/>
        </w:rPr>
        <w:t xml:space="preserve">One of the available products is the Bare Surface Reflectance Composite (SRC) </w:t>
      </w:r>
      <w:r w:rsidR="003F279B">
        <w:rPr>
          <w:rFonts w:asciiTheme="minorHAnsi" w:hAnsiTheme="minorHAnsi" w:cstheme="minorBidi"/>
          <w:bCs/>
          <w:sz w:val="22"/>
          <w:szCs w:val="22"/>
          <w:lang w:val="en-US"/>
        </w:rPr>
        <w:t>which</w:t>
      </w:r>
      <w:r w:rsidR="003F279B" w:rsidRPr="005F064C">
        <w:rPr>
          <w:rFonts w:asciiTheme="minorHAnsi" w:hAnsiTheme="minorHAnsi" w:cstheme="minorBidi"/>
          <w:bCs/>
          <w:sz w:val="22"/>
          <w:szCs w:val="22"/>
          <w:lang w:val="en-US"/>
        </w:rPr>
        <w:t xml:space="preserve"> </w:t>
      </w:r>
      <w:r w:rsidRPr="005F064C">
        <w:rPr>
          <w:rFonts w:asciiTheme="minorHAnsi" w:hAnsiTheme="minorHAnsi" w:cstheme="minorBidi"/>
          <w:bCs/>
          <w:sz w:val="22"/>
          <w:szCs w:val="22"/>
          <w:lang w:val="en-US"/>
        </w:rPr>
        <w:t xml:space="preserve">contains </w:t>
      </w:r>
      <w:r w:rsidR="003F279B" w:rsidRPr="005F064C">
        <w:rPr>
          <w:rFonts w:asciiTheme="minorHAnsi" w:hAnsiTheme="minorHAnsi" w:cstheme="minorBidi"/>
          <w:bCs/>
          <w:sz w:val="22"/>
          <w:szCs w:val="22"/>
          <w:lang w:val="en-US"/>
        </w:rPr>
        <w:t>Sentinel-2</w:t>
      </w:r>
      <w:r w:rsidR="003F279B">
        <w:rPr>
          <w:rFonts w:asciiTheme="minorHAnsi" w:hAnsiTheme="minorHAnsi" w:cstheme="minorBidi"/>
          <w:bCs/>
          <w:sz w:val="22"/>
          <w:szCs w:val="22"/>
          <w:lang w:val="en-US"/>
        </w:rPr>
        <w:t xml:space="preserve"> </w:t>
      </w:r>
      <w:r w:rsidRPr="005F064C">
        <w:rPr>
          <w:rFonts w:asciiTheme="minorHAnsi" w:hAnsiTheme="minorHAnsi" w:cstheme="minorBidi"/>
          <w:bCs/>
          <w:sz w:val="22"/>
          <w:szCs w:val="22"/>
          <w:lang w:val="en-US"/>
        </w:rPr>
        <w:t>mean reflectance values of all bare surface occurrences between 2018-2022.</w:t>
      </w:r>
    </w:p>
    <w:p w:rsidR="00CF547B" w:rsidRPr="005F064C" w:rsidRDefault="007040B5" w:rsidP="008A46A2">
      <w:pPr>
        <w:spacing w:after="120"/>
        <w:jc w:val="both"/>
        <w:rPr>
          <w:rFonts w:asciiTheme="minorHAnsi" w:hAnsiTheme="minorHAnsi" w:cstheme="minorBidi"/>
          <w:bCs/>
          <w:sz w:val="22"/>
          <w:szCs w:val="22"/>
          <w:lang w:val="en-US"/>
        </w:rPr>
      </w:pPr>
      <w:r w:rsidRPr="005F064C">
        <w:rPr>
          <w:rFonts w:asciiTheme="minorHAnsi" w:hAnsiTheme="minorHAnsi" w:cstheme="minorBidi"/>
          <w:bCs/>
          <w:sz w:val="22"/>
          <w:szCs w:val="22"/>
          <w:lang w:val="en-US"/>
        </w:rPr>
        <w:t xml:space="preserve">Although this product was conceived as an input for digital soil mapping, it also provides valuable information for AMS. We believe that it enables the characterization of every parcel monitored by the AMS when bare soil conditions are present. Based on this hypothesis, we have prototyped a marker that relies on the similarity between the spectral signature of bare soil and the daily Sentinel-2 spectral response of the parcel. We expect this marker to enhance expert knowledge when defining thresholds for accepting or rejecting compliance with certain </w:t>
      </w:r>
      <w:r w:rsidR="00607161" w:rsidRPr="005F064C">
        <w:rPr>
          <w:rFonts w:asciiTheme="minorHAnsi" w:hAnsiTheme="minorHAnsi" w:cstheme="minorBidi"/>
          <w:bCs/>
          <w:sz w:val="22"/>
          <w:szCs w:val="22"/>
          <w:lang w:val="en-US"/>
        </w:rPr>
        <w:t>El</w:t>
      </w:r>
      <w:r w:rsidR="00607161">
        <w:rPr>
          <w:rFonts w:asciiTheme="minorHAnsi" w:hAnsiTheme="minorHAnsi" w:cstheme="minorBidi"/>
          <w:bCs/>
          <w:sz w:val="22"/>
          <w:szCs w:val="22"/>
          <w:lang w:val="en-US"/>
        </w:rPr>
        <w:t xml:space="preserve">igibility </w:t>
      </w:r>
      <w:r w:rsidRPr="005F064C">
        <w:rPr>
          <w:rFonts w:asciiTheme="minorHAnsi" w:hAnsiTheme="minorHAnsi" w:cstheme="minorBidi"/>
          <w:bCs/>
          <w:sz w:val="22"/>
          <w:szCs w:val="22"/>
          <w:lang w:val="en-US"/>
        </w:rPr>
        <w:t>Co</w:t>
      </w:r>
      <w:r w:rsidR="00607161">
        <w:rPr>
          <w:rFonts w:asciiTheme="minorHAnsi" w:hAnsiTheme="minorHAnsi" w:cstheme="minorBidi"/>
          <w:bCs/>
          <w:sz w:val="22"/>
          <w:szCs w:val="22"/>
          <w:lang w:val="en-US"/>
        </w:rPr>
        <w:t>nditions</w:t>
      </w:r>
      <w:r w:rsidRPr="005F064C">
        <w:rPr>
          <w:rFonts w:asciiTheme="minorHAnsi" w:hAnsiTheme="minorHAnsi" w:cstheme="minorBidi"/>
          <w:bCs/>
          <w:sz w:val="22"/>
          <w:szCs w:val="22"/>
          <w:lang w:val="en-US"/>
        </w:rPr>
        <w:t>—for instance, tentatively identifying agricultural activity on fallow land or the presence of seedbed conditions under direct seeding practices. Nevertheless, several challenges have arisen in designing the marker. The main one relates to fully understanding the surface described by the SRC product in arid and semi-arid conditions, as discussed in the literature.</w:t>
      </w:r>
    </w:p>
    <w:p w:rsidR="005F064C" w:rsidRPr="005F064C" w:rsidRDefault="005F064C" w:rsidP="005F064C">
      <w:pPr>
        <w:rPr>
          <w:rFonts w:asciiTheme="minorHAnsi" w:hAnsiTheme="minorHAnsi" w:cstheme="minorBidi"/>
          <w:bCs/>
          <w:sz w:val="22"/>
          <w:szCs w:val="22"/>
          <w:lang w:val="en-US"/>
        </w:rPr>
      </w:pPr>
      <w:r w:rsidRPr="00435F31">
        <w:rPr>
          <w:rFonts w:asciiTheme="minorHAnsi" w:hAnsiTheme="minorHAnsi" w:cstheme="minorBidi"/>
          <w:b/>
          <w:bCs/>
          <w:sz w:val="28"/>
          <w:szCs w:val="28"/>
          <w:u w:val="single"/>
          <w:lang w:val="en-US"/>
        </w:rPr>
        <w:t>References</w:t>
      </w:r>
    </w:p>
    <w:p w:rsidR="005F064C" w:rsidRPr="005F064C" w:rsidRDefault="005F064C" w:rsidP="005F064C">
      <w:pPr>
        <w:jc w:val="both"/>
        <w:rPr>
          <w:rFonts w:asciiTheme="minorHAnsi" w:hAnsiTheme="minorHAnsi" w:cstheme="minorBidi"/>
          <w:bCs/>
          <w:sz w:val="22"/>
          <w:szCs w:val="22"/>
          <w:lang w:val="en-US"/>
        </w:rPr>
      </w:pPr>
      <w:proofErr w:type="spellStart"/>
      <w:r w:rsidRPr="005F064C">
        <w:rPr>
          <w:rFonts w:asciiTheme="minorHAnsi" w:hAnsiTheme="minorHAnsi" w:cstheme="minorBidi"/>
          <w:bCs/>
          <w:sz w:val="22"/>
          <w:szCs w:val="22"/>
          <w:lang w:val="en-US"/>
        </w:rPr>
        <w:t>Heiden</w:t>
      </w:r>
      <w:proofErr w:type="spellEnd"/>
      <w:r w:rsidRPr="005F064C">
        <w:rPr>
          <w:rFonts w:asciiTheme="minorHAnsi" w:hAnsiTheme="minorHAnsi" w:cstheme="minorBidi"/>
          <w:bCs/>
          <w:sz w:val="22"/>
          <w:szCs w:val="22"/>
          <w:lang w:val="en-US"/>
        </w:rPr>
        <w:t xml:space="preserve">, U., </w:t>
      </w:r>
      <w:proofErr w:type="spellStart"/>
      <w:r w:rsidRPr="005F064C">
        <w:rPr>
          <w:rFonts w:asciiTheme="minorHAnsi" w:hAnsiTheme="minorHAnsi" w:cstheme="minorBidi"/>
          <w:bCs/>
          <w:sz w:val="22"/>
          <w:szCs w:val="22"/>
          <w:lang w:val="en-US"/>
        </w:rPr>
        <w:t>d’Angelo</w:t>
      </w:r>
      <w:proofErr w:type="spellEnd"/>
      <w:r w:rsidRPr="005F064C">
        <w:rPr>
          <w:rFonts w:asciiTheme="minorHAnsi" w:hAnsiTheme="minorHAnsi" w:cstheme="minorBidi"/>
          <w:bCs/>
          <w:sz w:val="22"/>
          <w:szCs w:val="22"/>
          <w:lang w:val="en-US"/>
        </w:rPr>
        <w:t xml:space="preserve">, P., </w:t>
      </w:r>
      <w:proofErr w:type="spellStart"/>
      <w:r w:rsidRPr="005F064C">
        <w:rPr>
          <w:rFonts w:asciiTheme="minorHAnsi" w:hAnsiTheme="minorHAnsi" w:cstheme="minorBidi"/>
          <w:bCs/>
          <w:sz w:val="22"/>
          <w:szCs w:val="22"/>
          <w:lang w:val="en-US"/>
        </w:rPr>
        <w:t>Karlshoefer</w:t>
      </w:r>
      <w:proofErr w:type="spellEnd"/>
      <w:r w:rsidRPr="005F064C">
        <w:rPr>
          <w:rFonts w:asciiTheme="minorHAnsi" w:hAnsiTheme="minorHAnsi" w:cstheme="minorBidi"/>
          <w:bCs/>
          <w:sz w:val="22"/>
          <w:szCs w:val="22"/>
          <w:lang w:val="en-US"/>
        </w:rPr>
        <w:t xml:space="preserve">, P., Kuehl, K., 2025. </w:t>
      </w:r>
      <w:proofErr w:type="spellStart"/>
      <w:r w:rsidRPr="005F064C">
        <w:rPr>
          <w:rFonts w:asciiTheme="minorHAnsi" w:hAnsiTheme="minorHAnsi" w:cstheme="minorBidi"/>
          <w:bCs/>
          <w:sz w:val="22"/>
          <w:szCs w:val="22"/>
          <w:lang w:val="en-US"/>
        </w:rPr>
        <w:t>SoilSuite</w:t>
      </w:r>
      <w:proofErr w:type="spellEnd"/>
      <w:r w:rsidRPr="005F064C">
        <w:rPr>
          <w:rFonts w:asciiTheme="minorHAnsi" w:hAnsiTheme="minorHAnsi" w:cstheme="minorBidi"/>
          <w:bCs/>
          <w:sz w:val="22"/>
          <w:szCs w:val="22"/>
          <w:lang w:val="en-US"/>
        </w:rPr>
        <w:t xml:space="preserve"> for Europe. Technical report, January 2025, </w:t>
      </w:r>
      <w:proofErr w:type="gramStart"/>
      <w:r w:rsidRPr="005F064C">
        <w:rPr>
          <w:rFonts w:asciiTheme="minorHAnsi" w:hAnsiTheme="minorHAnsi" w:cstheme="minorBidi"/>
          <w:bCs/>
          <w:sz w:val="22"/>
          <w:szCs w:val="22"/>
          <w:lang w:val="en-US"/>
        </w:rPr>
        <w:t>URL:https://download.geoservice.dlr.de/SOILSUITE/files/EUROPE_5Y/000_Data_Overview/SoilSuite_Data_Description_Europe_V1.pdf</w:t>
      </w:r>
      <w:proofErr w:type="gramEnd"/>
    </w:p>
    <w:p w:rsidR="005F064C" w:rsidRDefault="005F064C" w:rsidP="005F064C">
      <w:pPr>
        <w:jc w:val="both"/>
        <w:rPr>
          <w:rFonts w:asciiTheme="minorHAnsi" w:hAnsiTheme="minorHAnsi" w:cstheme="minorBidi"/>
          <w:bCs/>
          <w:sz w:val="22"/>
          <w:szCs w:val="22"/>
          <w:lang w:val="en-US"/>
        </w:rPr>
      </w:pPr>
    </w:p>
    <w:p w:rsidR="005F064C" w:rsidRPr="005F064C" w:rsidRDefault="005F064C" w:rsidP="005F064C">
      <w:pPr>
        <w:jc w:val="both"/>
        <w:rPr>
          <w:rFonts w:asciiTheme="minorHAnsi" w:hAnsiTheme="minorHAnsi" w:cstheme="minorBidi"/>
          <w:bCs/>
          <w:sz w:val="22"/>
          <w:szCs w:val="22"/>
          <w:lang w:val="en-US"/>
        </w:rPr>
      </w:pPr>
      <w:proofErr w:type="spellStart"/>
      <w:r w:rsidRPr="005F064C">
        <w:rPr>
          <w:rFonts w:asciiTheme="minorHAnsi" w:hAnsiTheme="minorHAnsi" w:cstheme="minorBidi"/>
          <w:bCs/>
          <w:sz w:val="22"/>
          <w:szCs w:val="22"/>
          <w:lang w:val="es-ES"/>
        </w:rPr>
        <w:lastRenderedPageBreak/>
        <w:t>Dvorakova</w:t>
      </w:r>
      <w:proofErr w:type="spellEnd"/>
      <w:r w:rsidRPr="005F064C">
        <w:rPr>
          <w:rFonts w:asciiTheme="minorHAnsi" w:hAnsiTheme="minorHAnsi" w:cstheme="minorBidi"/>
          <w:bCs/>
          <w:sz w:val="22"/>
          <w:szCs w:val="22"/>
          <w:lang w:val="es-ES"/>
        </w:rPr>
        <w:t xml:space="preserve">, K., Heiden, U., </w:t>
      </w:r>
      <w:proofErr w:type="spellStart"/>
      <w:r w:rsidRPr="005F064C">
        <w:rPr>
          <w:rFonts w:asciiTheme="minorHAnsi" w:hAnsiTheme="minorHAnsi" w:cstheme="minorBidi"/>
          <w:bCs/>
          <w:sz w:val="22"/>
          <w:szCs w:val="22"/>
          <w:lang w:val="es-ES"/>
        </w:rPr>
        <w:t>Pepers</w:t>
      </w:r>
      <w:proofErr w:type="spellEnd"/>
      <w:r w:rsidRPr="005F064C">
        <w:rPr>
          <w:rFonts w:asciiTheme="minorHAnsi" w:hAnsiTheme="minorHAnsi" w:cstheme="minorBidi"/>
          <w:bCs/>
          <w:sz w:val="22"/>
          <w:szCs w:val="22"/>
          <w:lang w:val="es-ES"/>
        </w:rPr>
        <w:t xml:space="preserve">, K., </w:t>
      </w:r>
      <w:proofErr w:type="spellStart"/>
      <w:r w:rsidRPr="005F064C">
        <w:rPr>
          <w:rFonts w:asciiTheme="minorHAnsi" w:hAnsiTheme="minorHAnsi" w:cstheme="minorBidi"/>
          <w:bCs/>
          <w:sz w:val="22"/>
          <w:szCs w:val="22"/>
          <w:lang w:val="es-ES"/>
        </w:rPr>
        <w:t>Staats</w:t>
      </w:r>
      <w:proofErr w:type="spellEnd"/>
      <w:r w:rsidRPr="005F064C">
        <w:rPr>
          <w:rFonts w:asciiTheme="minorHAnsi" w:hAnsiTheme="minorHAnsi" w:cstheme="minorBidi"/>
          <w:bCs/>
          <w:sz w:val="22"/>
          <w:szCs w:val="22"/>
          <w:lang w:val="es-ES"/>
        </w:rPr>
        <w:t xml:space="preserve">, G., van Os, G., &amp; van </w:t>
      </w:r>
      <w:proofErr w:type="spellStart"/>
      <w:r w:rsidRPr="005F064C">
        <w:rPr>
          <w:rFonts w:asciiTheme="minorHAnsi" w:hAnsiTheme="minorHAnsi" w:cstheme="minorBidi"/>
          <w:bCs/>
          <w:sz w:val="22"/>
          <w:szCs w:val="22"/>
          <w:lang w:val="es-ES"/>
        </w:rPr>
        <w:t>Wesemael</w:t>
      </w:r>
      <w:proofErr w:type="spellEnd"/>
      <w:r w:rsidRPr="005F064C">
        <w:rPr>
          <w:rFonts w:asciiTheme="minorHAnsi" w:hAnsiTheme="minorHAnsi" w:cstheme="minorBidi"/>
          <w:bCs/>
          <w:sz w:val="22"/>
          <w:szCs w:val="22"/>
          <w:lang w:val="es-ES"/>
        </w:rPr>
        <w:t xml:space="preserve">, B. (2023). </w:t>
      </w:r>
      <w:r w:rsidRPr="005F064C">
        <w:rPr>
          <w:rFonts w:asciiTheme="minorHAnsi" w:hAnsiTheme="minorHAnsi" w:cstheme="minorBidi"/>
          <w:bCs/>
          <w:sz w:val="22"/>
          <w:szCs w:val="22"/>
          <w:lang w:val="en-US"/>
        </w:rPr>
        <w:t>Improving soil organic carbon predictions from a Sentinel–2 soil composite by assessing surface conditions and uncertainties. </w:t>
      </w:r>
      <w:proofErr w:type="spellStart"/>
      <w:r w:rsidRPr="005F064C">
        <w:rPr>
          <w:rFonts w:asciiTheme="minorHAnsi" w:hAnsiTheme="minorHAnsi" w:cstheme="minorBidi"/>
          <w:bCs/>
          <w:sz w:val="22"/>
          <w:szCs w:val="22"/>
          <w:lang w:val="en-US"/>
        </w:rPr>
        <w:t>Geoderma</w:t>
      </w:r>
      <w:proofErr w:type="spellEnd"/>
      <w:r w:rsidRPr="005F064C">
        <w:rPr>
          <w:rFonts w:asciiTheme="minorHAnsi" w:hAnsiTheme="minorHAnsi" w:cstheme="minorBidi"/>
          <w:bCs/>
          <w:sz w:val="22"/>
          <w:szCs w:val="22"/>
          <w:lang w:val="en-US"/>
        </w:rPr>
        <w:t>, 429, 116128.</w:t>
      </w:r>
    </w:p>
    <w:sectPr w:rsidR="005F064C" w:rsidRPr="005F064C" w:rsidSect="00F976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0446"/>
    <w:multiLevelType w:val="hybridMultilevel"/>
    <w:tmpl w:val="4C64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05"/>
    <w:rsid w:val="0002367B"/>
    <w:rsid w:val="00181120"/>
    <w:rsid w:val="001D2D47"/>
    <w:rsid w:val="00254442"/>
    <w:rsid w:val="003E75FA"/>
    <w:rsid w:val="003F279B"/>
    <w:rsid w:val="00435F31"/>
    <w:rsid w:val="00447C54"/>
    <w:rsid w:val="005229CD"/>
    <w:rsid w:val="00524D36"/>
    <w:rsid w:val="005F064C"/>
    <w:rsid w:val="00605739"/>
    <w:rsid w:val="00607161"/>
    <w:rsid w:val="007040B5"/>
    <w:rsid w:val="00734CD2"/>
    <w:rsid w:val="00784A15"/>
    <w:rsid w:val="007E51CD"/>
    <w:rsid w:val="007F1B27"/>
    <w:rsid w:val="008A46A2"/>
    <w:rsid w:val="008E38BC"/>
    <w:rsid w:val="00B60C0A"/>
    <w:rsid w:val="00B9337D"/>
    <w:rsid w:val="00BF7DA2"/>
    <w:rsid w:val="00C15927"/>
    <w:rsid w:val="00C23943"/>
    <w:rsid w:val="00C32CE6"/>
    <w:rsid w:val="00C353BE"/>
    <w:rsid w:val="00C60105"/>
    <w:rsid w:val="00C711FF"/>
    <w:rsid w:val="00CF547B"/>
    <w:rsid w:val="00D601E7"/>
    <w:rsid w:val="00E45A5B"/>
    <w:rsid w:val="00F519D0"/>
    <w:rsid w:val="00F976F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1EC"/>
  <w15:chartTrackingRefBased/>
  <w15:docId w15:val="{49203461-048A-403B-8484-FBB7204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105"/>
    <w:pPr>
      <w:spacing w:after="0" w:line="240" w:lineRule="auto"/>
    </w:pPr>
    <w:rPr>
      <w:rFonts w:ascii="Aptos" w:hAnsi="Aptos" w:cs="Calibri"/>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7DA2"/>
    <w:pPr>
      <w:ind w:left="720"/>
      <w:contextualSpacing/>
    </w:pPr>
  </w:style>
  <w:style w:type="paragraph" w:styleId="Textodeglobo">
    <w:name w:val="Balloon Text"/>
    <w:basedOn w:val="Normal"/>
    <w:link w:val="TextodegloboCar"/>
    <w:uiPriority w:val="99"/>
    <w:semiHidden/>
    <w:unhideWhenUsed/>
    <w:rsid w:val="008A46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6A2"/>
    <w:rPr>
      <w:rFonts w:ascii="Segoe UI" w:hAnsi="Segoe UI" w:cs="Segoe UI"/>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4612">
      <w:bodyDiv w:val="1"/>
      <w:marLeft w:val="0"/>
      <w:marRight w:val="0"/>
      <w:marTop w:val="0"/>
      <w:marBottom w:val="0"/>
      <w:divBdr>
        <w:top w:val="none" w:sz="0" w:space="0" w:color="auto"/>
        <w:left w:val="none" w:sz="0" w:space="0" w:color="auto"/>
        <w:bottom w:val="none" w:sz="0" w:space="0" w:color="auto"/>
        <w:right w:val="none" w:sz="0" w:space="0" w:color="auto"/>
      </w:divBdr>
    </w:div>
    <w:div w:id="286157215">
      <w:bodyDiv w:val="1"/>
      <w:marLeft w:val="0"/>
      <w:marRight w:val="0"/>
      <w:marTop w:val="0"/>
      <w:marBottom w:val="0"/>
      <w:divBdr>
        <w:top w:val="none" w:sz="0" w:space="0" w:color="auto"/>
        <w:left w:val="none" w:sz="0" w:space="0" w:color="auto"/>
        <w:bottom w:val="none" w:sz="0" w:space="0" w:color="auto"/>
        <w:right w:val="none" w:sz="0" w:space="0" w:color="auto"/>
      </w:divBdr>
    </w:div>
    <w:div w:id="428505674">
      <w:bodyDiv w:val="1"/>
      <w:marLeft w:val="0"/>
      <w:marRight w:val="0"/>
      <w:marTop w:val="0"/>
      <w:marBottom w:val="0"/>
      <w:divBdr>
        <w:top w:val="none" w:sz="0" w:space="0" w:color="auto"/>
        <w:left w:val="none" w:sz="0" w:space="0" w:color="auto"/>
        <w:bottom w:val="none" w:sz="0" w:space="0" w:color="auto"/>
        <w:right w:val="none" w:sz="0" w:space="0" w:color="auto"/>
      </w:divBdr>
    </w:div>
    <w:div w:id="444734699">
      <w:bodyDiv w:val="1"/>
      <w:marLeft w:val="0"/>
      <w:marRight w:val="0"/>
      <w:marTop w:val="0"/>
      <w:marBottom w:val="0"/>
      <w:divBdr>
        <w:top w:val="none" w:sz="0" w:space="0" w:color="auto"/>
        <w:left w:val="none" w:sz="0" w:space="0" w:color="auto"/>
        <w:bottom w:val="none" w:sz="0" w:space="0" w:color="auto"/>
        <w:right w:val="none" w:sz="0" w:space="0" w:color="auto"/>
      </w:divBdr>
    </w:div>
    <w:div w:id="538469516">
      <w:bodyDiv w:val="1"/>
      <w:marLeft w:val="0"/>
      <w:marRight w:val="0"/>
      <w:marTop w:val="0"/>
      <w:marBottom w:val="0"/>
      <w:divBdr>
        <w:top w:val="none" w:sz="0" w:space="0" w:color="auto"/>
        <w:left w:val="none" w:sz="0" w:space="0" w:color="auto"/>
        <w:bottom w:val="none" w:sz="0" w:space="0" w:color="auto"/>
        <w:right w:val="none" w:sz="0" w:space="0" w:color="auto"/>
      </w:divBdr>
    </w:div>
    <w:div w:id="1185703749">
      <w:bodyDiv w:val="1"/>
      <w:marLeft w:val="0"/>
      <w:marRight w:val="0"/>
      <w:marTop w:val="0"/>
      <w:marBottom w:val="0"/>
      <w:divBdr>
        <w:top w:val="none" w:sz="0" w:space="0" w:color="auto"/>
        <w:left w:val="none" w:sz="0" w:space="0" w:color="auto"/>
        <w:bottom w:val="none" w:sz="0" w:space="0" w:color="auto"/>
        <w:right w:val="none" w:sz="0" w:space="0" w:color="auto"/>
      </w:divBdr>
    </w:div>
    <w:div w:id="1345939605">
      <w:bodyDiv w:val="1"/>
      <w:marLeft w:val="0"/>
      <w:marRight w:val="0"/>
      <w:marTop w:val="0"/>
      <w:marBottom w:val="0"/>
      <w:divBdr>
        <w:top w:val="none" w:sz="0" w:space="0" w:color="auto"/>
        <w:left w:val="none" w:sz="0" w:space="0" w:color="auto"/>
        <w:bottom w:val="none" w:sz="0" w:space="0" w:color="auto"/>
        <w:right w:val="none" w:sz="0" w:space="0" w:color="auto"/>
      </w:divBdr>
    </w:div>
    <w:div w:id="1503662747">
      <w:bodyDiv w:val="1"/>
      <w:marLeft w:val="0"/>
      <w:marRight w:val="0"/>
      <w:marTop w:val="0"/>
      <w:marBottom w:val="0"/>
      <w:divBdr>
        <w:top w:val="none" w:sz="0" w:space="0" w:color="auto"/>
        <w:left w:val="none" w:sz="0" w:space="0" w:color="auto"/>
        <w:bottom w:val="none" w:sz="0" w:space="0" w:color="auto"/>
        <w:right w:val="none" w:sz="0" w:space="0" w:color="auto"/>
      </w:divBdr>
    </w:div>
    <w:div w:id="1894465342">
      <w:bodyDiv w:val="1"/>
      <w:marLeft w:val="0"/>
      <w:marRight w:val="0"/>
      <w:marTop w:val="0"/>
      <w:marBottom w:val="0"/>
      <w:divBdr>
        <w:top w:val="none" w:sz="0" w:space="0" w:color="auto"/>
        <w:left w:val="none" w:sz="0" w:space="0" w:color="auto"/>
        <w:bottom w:val="none" w:sz="0" w:space="0" w:color="auto"/>
        <w:right w:val="none" w:sz="0" w:space="0" w:color="auto"/>
      </w:divBdr>
    </w:div>
    <w:div w:id="20463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2892</TotalTime>
  <Pages>2</Pages>
  <Words>591</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ITACyL</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Gutierrez García</dc:creator>
  <cp:keywords/>
  <dc:description/>
  <cp:lastModifiedBy>Alberto Gutierrez García</cp:lastModifiedBy>
  <cp:revision>7</cp:revision>
  <dcterms:created xsi:type="dcterms:W3CDTF">2025-08-30T05:43:00Z</dcterms:created>
  <dcterms:modified xsi:type="dcterms:W3CDTF">2025-09-06T16:30:00Z</dcterms:modified>
</cp:coreProperties>
</file>